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951865</wp:posOffset>
            </wp:positionH>
            <wp:positionV relativeFrom="page">
              <wp:posOffset>722630</wp:posOffset>
            </wp:positionV>
            <wp:extent cx="8825865" cy="2218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865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1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484749"/>
        </w:rPr>
        <w:t>№</w:t>
      </w:r>
      <w:r>
        <w:rPr>
          <w:rFonts w:ascii="Times New Roman" w:cs="Times New Roman" w:eastAsia="Times New Roman" w:hAnsi="Times New Roman"/>
          <w:sz w:val="110"/>
          <w:szCs w:val="110"/>
          <w:b w:val="1"/>
          <w:bCs w:val="1"/>
          <w:color w:val="343334"/>
        </w:rPr>
        <w:t>1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1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5C5D5F"/>
        </w:rPr>
        <w:t>ЯНВАРЬ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6"/>
          <w:szCs w:val="46"/>
          <w:b w:val="1"/>
          <w:bCs w:val="1"/>
          <w:color w:val="231F20"/>
        </w:rPr>
        <w:t>18 ЯНВАРЯ – ДЕНЬ ПРОРЫВА БЛОКАДЫ ЛЕНИНГРАДА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97155</wp:posOffset>
            </wp:positionV>
            <wp:extent cx="8801100" cy="57962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79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right"/>
        <w:ind w:left="9840" w:right="64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231F20"/>
        </w:rPr>
        <w:t>Петровой волей сотворен И светом ленинским означен – В труды по горло погружен, Он жил – и жить не мог иначе.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10020" w:right="640" w:firstLine="349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231F20"/>
        </w:rPr>
        <w:t>Он сердцем помнил: береги Вот эти мирные границы, – Не раз, как волны, шли враги, Чтоб о гранит его разбиться.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ind w:left="9460" w:right="640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231F20"/>
        </w:rPr>
        <w:t>Исчезнуть пенным вихрем брызг, Бесследно кануть в бездне черной А он стоял, большой, как жизнь, Ни с кем не схожий, неповторный!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both"/>
        <w:ind w:left="10180" w:right="640" w:hanging="155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231F20"/>
        </w:rPr>
        <w:t>И под фашистских пушек вой Таким, каким его мы знаем, Он принял бой, как часовой, Чей пост вовеки несменяем!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11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231F20"/>
        </w:rPr>
        <w:t>(Н. Тихонов)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6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31F20"/>
        </w:rPr>
        <w:t>Дорогие ленинградцы - петербуржцы!</w:t>
      </w:r>
    </w:p>
    <w:p>
      <w:pPr>
        <w:spacing w:after="0" w:line="25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-101600</wp:posOffset>
            </wp:positionV>
            <wp:extent cx="2007235" cy="22218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Уважаемые ветераны Великой Отечественной войны!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both"/>
        <w:ind w:left="33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18 января – святая дата для нашего города, для каждой ленинградской-петербургской семьи. В этот день 74 года назад была прорвана блокада Ленинграда. Операция «Искра» стала переломным моментом в успешной битве за Ленинград, положив начало полному освобождению города от фашистских захватчиков. В результате операции была восстановлена сухопутная связь города со страной, освобождены десятки населенных пунктов.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33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Героическая оборона Ленинграда и битва за наш город – особые страницы в истории нашей страны, в истории нашего народа, символ невиданного в мире мужества, величайшего и беспримерного героизма. Вражеское кольцо было прорвано ценой многих жизней бойцов Ленинградского и Волховского фронтов. Великий подвиг воинов-освободителей Ленинграда навсегда останется в нашей памяти.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Низкий им поклон!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Вечная память и слава героям!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Желаю всем ленинградцам-петербуржцам мира, добра, счастья и благополучия!</w:t>
      </w: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231F20"/>
        </w:rPr>
        <w:t>Председатель Законодательного Собрания Санкт-Петербурга,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231F20"/>
        </w:rPr>
        <w:t>Секретарь Санкт-Петербургского регионального отделения партии «Единая Россия»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231F20"/>
        </w:rPr>
        <w:t>Вячеслав Макаров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ind w:left="4660" w:right="6500" w:hanging="347"/>
        <w:spacing w:after="0" w:line="3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31F20"/>
        </w:rPr>
        <w:t>Дорогие жители МО Балканский! Уважаемые ленинградцы!</w:t>
      </w:r>
    </w:p>
    <w:p>
      <w:pPr>
        <w:spacing w:after="0" w:line="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7376160</wp:posOffset>
            </wp:positionH>
            <wp:positionV relativeFrom="paragraph">
              <wp:posOffset>-325755</wp:posOffset>
            </wp:positionV>
            <wp:extent cx="1445895" cy="1908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right="2420" w:firstLine="227"/>
        <w:spacing w:after="0" w:line="2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От всего сердца поздравляем вас с великим праздником, Днём снятия блокады Ленинграда! Пусть память бережно сохранит лица тех, кто отдавал все свои силы для того, чтобы приблизить победу, кто выдержал всё и сохранил веру, надежду и любовь. Каждого из вас можно назвать настоящим Человеком, каким нельзя родиться, а можно только стать.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right="2420" w:firstLine="227"/>
        <w:spacing w:after="0" w:line="2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Для всех петербуржцев день снятия блокады - это святой день, это «Ленинградский День победы». Блокада Ленинграда была и остается самой трагической страницей в истории нашего государства. Победа была оплачена сотнями тысяч жизней жителей и защитников города.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right="2420" w:firstLine="227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Мы низко кланяемся вам, дорогие ветераны и блокадники, за то, что спасли наш любимый город, У поколения, которое забывает свою историю, нет будущего. Очень хотел бы просить вас, как можно больше делитесь воспоминаниями со своими детьми, внуками, правнуками. Чтобы они знали и помнили нашу историю.</w:t>
      </w:r>
    </w:p>
    <w:p>
      <w:pPr>
        <w:sectPr>
          <w:pgSz w:w="16840" w:h="23820" w:orient="portrait"/>
          <w:cols w:equalWidth="0" w:num="1">
            <w:col w:w="13900"/>
          </w:cols>
          <w:pgMar w:left="1500" w:top="1440" w:right="144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231F20"/>
        </w:rPr>
        <w:t>Глава муниципального округа-председатель муниципального совета МО Балканский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231F20"/>
        </w:rPr>
        <w:t>Савелий Лебедев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165735</wp:posOffset>
                </wp:positionV>
                <wp:extent cx="882015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87">
                          <a:solidFill>
                            <a:srgbClr val="73747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3.05pt" to="694.65pt,13.05pt" o:allowincell="f" strokecolor="#737477" strokeweight="0.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191770</wp:posOffset>
                </wp:positionV>
                <wp:extent cx="88201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87">
                          <a:solidFill>
                            <a:srgbClr val="73747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5.1pt" to="694.65pt,15.1pt" o:allowincell="f" strokecolor="#737477" strokeweight="0.999pt"/>
            </w:pict>
          </mc:Fallback>
        </mc:AlternateContent>
      </w:r>
    </w:p>
    <w:p>
      <w:pPr>
        <w:sectPr>
          <w:pgSz w:w="16840" w:h="23820" w:orient="portrait"/>
          <w:cols w:equalWidth="0" w:num="1">
            <w:col w:w="13820"/>
          </w:cols>
          <w:pgMar w:left="1500" w:top="1440" w:right="1520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5C5D5F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725805</wp:posOffset>
                </wp:positionV>
                <wp:extent cx="882015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C4C4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5.15pt,57.15pt" to="769.65pt,57.15pt" o:allowincell="f" strokecolor="#4C4C4E" strokeweight="0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734060</wp:posOffset>
                </wp:positionV>
                <wp:extent cx="882015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4C4C4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5.15pt,57.8pt" to="769.65pt,57.8pt" o:allowincell="f" strokecolor="#4C4C4E" strokeweight="0.1669pt">
                <w10:wrap anchorx="page" anchory="page"/>
              </v:line>
            </w:pict>
          </mc:Fallback>
        </mc:AlternateContent>
        <w:t>Историческая справка</w:t>
      </w:r>
    </w:p>
    <w:p>
      <w:pPr>
        <w:spacing w:after="0" w:line="9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-175895</wp:posOffset>
            </wp:positionV>
            <wp:extent cx="8845550" cy="2324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706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231F20"/>
        </w:rPr>
        <w:t>Утром 12 января 1943 г. части Волховского и Ленинградского фронтов одновременно начали наступление. Особую сложность представлял прорыв обороны в полосе 67-й ар-мии. Здесь позиции противника проходили по обрывистому обледенелому левому берегу Невы, имевшему превышение над правым. Расположенные ярусами огневые средства врага прикрывали многослойным огнем подступы к берегу. При форсировании Невы по льду и штурме переднего края вражеской обороны от войск требовалось максимальное напряжение сил. Важнейшим условием успеха при этом являлось надежное подавление огневых средств противника, особенно на переднем крае, огнем артиллерии.</w:t>
      </w:r>
    </w:p>
    <w:p>
      <w:pPr>
        <w:spacing w:after="0" w:line="17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-1089660</wp:posOffset>
            </wp:positionV>
            <wp:extent cx="4338320" cy="28917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8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70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231F20"/>
        </w:rPr>
        <w:t>В ночь перед наступлением авиация нанесла массированные удары по огневым позициям артиллерии, пунктам управления, аэродромам и узлам коммуникаций врага. В 9 часов 30 минут на обоих фронтах началась мощная артиллерийская и авиационная подготовка. Во 2-й ударной армии она продолжалась 1 час 45 минут, а в 67-й - 2 часа 20 минут. Тонны металла обрушились на врага, уничтожая его живую силу и разрушая оборонительные сооружения. В 67-й армии огонь по переднему краю обороны противника и в глубину ее до 200 м вели только орудия, поставленные для стрельбы прямой наводкой. Благодаря этому удалось в основном сохранить в целости лед у левого берега. За 40 минут до на-чала атаки пехоты и танков штурмовая авиация фронтов группами по 6-8 самолетов на-несла удары по узлам связи, опорным пунктам, артиллерийским и минометным батареям противника. Как только окончилась артиллерийская подготовка, пехота, а за ней и лег-кие танки соединений 67-й армии устремились по льду к левому берегу Невы. Под при-крытием заградительного огня артиллерии первыми противоположного берега достигли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right="708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штурмовые группы, бойцы которых самоотверженно действовали, проделывая проходы в заграждениях. Стрелковые и танковые подразделения преодолели ледяное поле реки и, поддерживаемые шквальным огнем артиллерии, успешно атаковали врага. Упорное со-противление противника, оборонявшегося между 2-м Городком и Шлиссельбургом, было сломлено. К исходу дня наступавшие в центре 136-я и 268-я стрелковые дивизии вклини-лись в неприятельскую оборону на глубину до 3 км. В полосе 2-й ударной армии наибо-лее ожесточенные бои развернулись за опорные пункты врага в деревне Липка, Рабочем поселке N 8 и роще северо-западнее Гонтовой Липки. Эти опорные пункты находились на флангах прорыва, и немцы дрались за их удержание, даже находясь в окружении. К исходу дня соединениям армии удалось прорвать первую позицию вражеской обороны и продвинуться на 2-3 км. Противник, стремясь не допустить развития прорыва, начал вводить в сражение оперативные резервы.</w:t>
      </w:r>
    </w:p>
    <w:p>
      <w:pPr>
        <w:spacing w:after="0" w:line="19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4488180</wp:posOffset>
            </wp:positionH>
            <wp:positionV relativeFrom="paragraph">
              <wp:posOffset>-1573530</wp:posOffset>
            </wp:positionV>
            <wp:extent cx="4333875" cy="2924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2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right="708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231F20"/>
        </w:rPr>
        <w:t>С утра 13 января наступление продолжалось. Наибольшего продвижения удалось до-стичь в направлении Рабочего поселка N 5. К исходу дня расстояние между наступавши-ми навстречу друг другу ударными группировками фронтов не превышало 5-6 км. Но на следующий день контратаки противника усилились, и бои приняли затяжной характер: немецкое командование, стремясь не допустить выхода советских войск севернее Синя-вино, перебросило в этот район 61-ю пехотную дивизию и полк 69-й пехотной дивизии из-под Киришиф. Значительно активизировалась вражеская авиация. С 15 по 18 января войска ударных группировок Волховского и Ленинградского фронтов продолжали на-стойчиво продвигаться навстречу друг другу, расширяя прорыв в стороны флангов. Про-тивник, неся большие потери, терял одну позицию за другой. Кольцо вокруг его частей, действовавших в северной части синявинского выступа, постепенно сжималось.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В первой половине дня 18 января войска 2-й ударной и 67-й армий соединились в районе Рабочих поселков N 1 и N 5. К концу дня южное побережье Ладожского озера было очищено от врага, а его разрозненные группы ликвидированы. Между Ладожским озером и линией фронта образовался коридор шириной 8-11 км, через который в течении 17 суток были проложены железная и автомобильная дорога. Однако полностью задача восстановления связи города со страной не была решена.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5C5D5F"/>
        </w:rPr>
        <w:t>ОФИЦИАЛЬНАЯ ИНФОРМАЦИЯ</w:t>
      </w:r>
    </w:p>
    <w:p>
      <w:pPr>
        <w:spacing w:after="0" w:line="11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-175895</wp:posOffset>
            </wp:positionV>
            <wp:extent cx="8845550" cy="2324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231F20"/>
        </w:rPr>
        <w:t>Решение № 39 от 25.09.2014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231F20"/>
        </w:rPr>
        <w:t>О ВНЕСЕНИИ ИЗМЕНЕНИЙ В ПОЛОЖЕНИЕ О ПРОВЕДЕНИИ КОНКУРСА НА ЗАМЕЩЕНИЕ ВАКАНТНОЙ ДОЛЖНОСТИ МУНИЦИПАЛЬНОЙ СЛУЖБЫ МО № 76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В соответствии с Федеральным законом от 02.03.2007 № 25-ФЗ «О муниципальной службе в Российской Федерации», Законом Санкт-Петербурга от 21.11.2007 N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муниципальный совет внутригородского муниципального образования Санкт-Петербурга муниципальный округ Балканский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РЕШИЛ: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231F20"/>
        </w:rPr>
        <w:t xml:space="preserve">1. </w:t>
      </w:r>
      <w:r>
        <w:rPr>
          <w:rFonts w:ascii="Times New Roman" w:cs="Times New Roman" w:eastAsia="Times New Roman" w:hAnsi="Times New Roman"/>
          <w:sz w:val="15"/>
          <w:szCs w:val="15"/>
          <w:color w:val="231F20"/>
        </w:rPr>
        <w:t>Внести в Положение о проведении конкурса на замещение вакантной должности муниципальной службы МО №</w:t>
      </w:r>
      <w:r>
        <w:rPr>
          <w:rFonts w:ascii="Calibri" w:cs="Calibri" w:eastAsia="Calibri" w:hAnsi="Calibri"/>
          <w:sz w:val="15"/>
          <w:szCs w:val="15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231F20"/>
        </w:rPr>
        <w:t>76</w:t>
      </w:r>
      <w:r>
        <w:rPr>
          <w:rFonts w:ascii="Calibri" w:cs="Calibri" w:eastAsia="Calibri" w:hAnsi="Calibri"/>
          <w:sz w:val="15"/>
          <w:szCs w:val="15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231F20"/>
        </w:rPr>
        <w:t>изменения,</w:t>
      </w:r>
      <w:r>
        <w:rPr>
          <w:rFonts w:ascii="Calibri" w:cs="Calibri" w:eastAsia="Calibri" w:hAnsi="Calibri"/>
          <w:sz w:val="15"/>
          <w:szCs w:val="15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231F20"/>
        </w:rPr>
        <w:t>изложив его в новой редакции согласно приложению к настоящему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решению.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2.Настоящее решение вступает в силу с момента его опубликования (обнародования).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3.Контроль за исполнением настоящего решения оставляю за собой.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Глава муниципального образования-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12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председатель муниципального совета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231F20"/>
        </w:rPr>
        <w:t>С.А. Лебедев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231F20"/>
        </w:rPr>
        <w:t>Приложение к решению МС МО Балканский от 25.09.2014 № 39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31F20"/>
        </w:rPr>
        <w:t>ПОЛОЖЕНИЕ  О  КОНКУРСЕ  НА  ЗАМЕЩЕНИЕ  ВАКАНТНЫХ  ДОЛЖНОСТЕЙ  МУНИЦИПАЛЬНОЙ  СЛУЖБЫ  ОТДЕЛА  ОПЕКИ  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31F20"/>
        </w:rPr>
        <w:t>ПОПЕЧИТЕЛЬСТВА МЕСТНОЙ АДМИНИСТРАЦИИ ВНУТРИГОРОДСКОГО МУНИЦИПАЛЬНОГО ОБРАЗОВАНИЯ САНКТ-ПЕТЕРБУРГА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31F20"/>
        </w:rPr>
        <w:t>МУНИЦИПАЛЬНЫЙ ОКРУГ БАЛКАНСКИЙ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254" w:lineRule="auto"/>
        <w:tabs>
          <w:tab w:leader="none" w:pos="72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6"/>
          <w:szCs w:val="16"/>
          <w:color w:val="231F20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Настоящим Положением в соответствии со статьей 17 Федерального закона от 02 марта 2007 г. N 25-ФЗ «О муниципальной службе в Российской Федерации», п.п.8 п. 2 статьи 6 Закон Санкт-Петербурга от 21.11.2007 N 536-109 «О наделении органов местного самоупр</w:t>
      </w: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авления в Санкт-Петербурге отдельными государственными полномочиями Санкт-Петербурга по организации и</w:t>
      </w: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определяются порядок и условия проведения конкурса на замещение вакантной должности муниципальной службы отдела опеки и попечительства местной администрации внутригородского муниципального образования Санкт-Петербурга муниципальный округ Балканский.</w:t>
      </w:r>
    </w:p>
    <w:p>
      <w:pPr>
        <w:jc w:val="both"/>
        <w:ind w:firstLine="540"/>
        <w:spacing w:after="0" w:line="250" w:lineRule="auto"/>
        <w:rPr>
          <w:rFonts w:ascii="Times New Roman" w:cs="Times New Roman" w:eastAsia="Times New Roman" w:hAnsi="Times New Roman"/>
          <w:sz w:val="16"/>
          <w:szCs w:val="16"/>
          <w:color w:val="231F20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Конкурс на замещение вакантной должности муниципальной службы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>
      <w:pPr>
        <w:jc w:val="both"/>
        <w:ind w:firstLine="541"/>
        <w:spacing w:after="0" w:line="250" w:lineRule="auto"/>
        <w:tabs>
          <w:tab w:leader="none" w:pos="72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Конкурс объявляется по решению главы местной администрации (далее – представитель нанимателя) при наличии вакантной (не замещенной муниципальным служащим) должности муниципальной службы в отделе опеки и попечительства.</w:t>
      </w:r>
    </w:p>
    <w:p>
      <w:pPr>
        <w:jc w:val="both"/>
        <w:ind w:left="700" w:hanging="159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Конкурс может не проводится: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а)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250" w:lineRule="auto"/>
        <w:tabs>
          <w:tab w:leader="none" w:pos="69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>
      <w:pPr>
        <w:jc w:val="both"/>
        <w:ind w:left="540"/>
        <w:spacing w:after="0"/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firstLine="541"/>
        <w:spacing w:after="0" w:line="250" w:lineRule="auto"/>
        <w:tabs>
          <w:tab w:leader="none" w:pos="69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Конкурс проводится в два этапа. На первом этапе на официальном сайте внутригородского муниципального образования Санкт-Петербурга муниципальный округ Балканский в информационно-телекоммуникационной сети «Интернет»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пунктом 7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 Указанные сведения подлежат размещению не позднее чем за 20 дней до дня проведения конкурса.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left="540"/>
        <w:spacing w:after="0"/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left="700" w:hanging="159"/>
        <w:spacing w:after="0"/>
        <w:tabs>
          <w:tab w:leader="none" w:pos="7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Гражданин Российской Федерации, изъявивший желание участвовать в конкурсе, представляет в местную администрацию: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40" w:right="26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а) личное заявление; 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 w:right="45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в) копию паспорта или заменяющего его документа (соответствующий документ предъявляется лично по прибытии на конкурс); г) документы, подтверждающие необходимое профессиональное образование, квалификацию и стаж работы: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5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5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 w:right="1860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д) документ об отсутствии у гражданина заболевания, препятствующего поступлению на гражданскую службу или ее прохождению; 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sectPr>
          <w:pgSz w:w="16840" w:h="23820" w:orient="portrait"/>
          <w:cols w:equalWidth="0" w:num="1">
            <w:col w:w="13900"/>
          </w:cols>
          <w:pgMar w:left="1500" w:top="1212" w:right="1440" w:bottom="856" w:gutter="0" w:footer="0" w:header="0"/>
        </w:sectPr>
      </w:pP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231F20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-15240</wp:posOffset>
                </wp:positionV>
                <wp:extent cx="86696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1.1999pt" to="694.65pt,-1.1999pt" o:allowincell="f" strokecolor="#5F6062" strokeweight="0.16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-6350</wp:posOffset>
                </wp:positionV>
                <wp:extent cx="86696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0.4999pt" to="694.65pt,-0.4999pt" o:allowincell="f" strokecolor="#5F6062" strokeweight="0.5pt"/>
            </w:pict>
          </mc:Fallback>
        </mc:AlternateContent>
      </w:r>
    </w:p>
    <w:p>
      <w:pPr>
        <w:sectPr>
          <w:pgSz w:w="16840" w:h="23820" w:orient="portrait"/>
          <w:cols w:equalWidth="0" w:num="1">
            <w:col w:w="80"/>
          </w:cols>
          <w:pgMar w:left="1500" w:top="1212" w:right="15260" w:bottom="856" w:gutter="0" w:footer="0" w:header="0"/>
          <w:type w:val="continuous"/>
        </w:sectPr>
      </w:pPr>
    </w:p>
    <w:bookmarkStart w:id="2" w:name="page3"/>
    <w:bookmarkEnd w:id="2"/>
    <w:p>
      <w:pPr>
        <w:ind w:firstLine="54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725805</wp:posOffset>
                </wp:positionV>
                <wp:extent cx="882015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C4C4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5.15pt,57.15pt" to="769.65pt,57.15pt" o:allowincell="f" strokecolor="#4C4C4E" strokeweight="0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734060</wp:posOffset>
                </wp:positionV>
                <wp:extent cx="882015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4C4C4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5.15pt,57.8pt" to="769.65pt,57.8pt" o:allowincell="f" strokecolor="#4C4C4E" strokeweight="0.1669pt">
                <w10:wrap anchorx="page" anchory="page"/>
              </v:line>
            </w:pict>
          </mc:Fallback>
        </mc:AlternateContent>
        <w:t>8.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Представленные сведения могут подвергаться проверке в установленном федеральными законами порядке.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780" w:hanging="236"/>
        <w:spacing w:after="0"/>
        <w:tabs>
          <w:tab w:leader="none" w:pos="78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15"/>
          <w:szCs w:val="15"/>
          <w:color w:val="010202"/>
        </w:rPr>
      </w:pPr>
      <w:r>
        <w:rPr>
          <w:rFonts w:ascii="Times New Roman" w:cs="Times New Roman" w:eastAsia="Times New Roman" w:hAnsi="Times New Roman"/>
          <w:sz w:val="15"/>
          <w:szCs w:val="15"/>
          <w:color w:val="010202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15"/>
          <w:szCs w:val="15"/>
          <w:color w:val="010202"/>
        </w:rPr>
      </w:pPr>
    </w:p>
    <w:p>
      <w:pPr>
        <w:jc w:val="both"/>
        <w:ind w:left="120" w:hanging="116"/>
        <w:spacing w:after="0"/>
        <w:tabs>
          <w:tab w:leader="none" w:pos="1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firstLine="544"/>
        <w:spacing w:after="0" w:line="250" w:lineRule="auto"/>
        <w:tabs>
          <w:tab w:leader="none" w:pos="77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Документы, указанные в пунктах 7 и 8 настоящего Положения, представляются в местную администрацию в течение 21 дня со дня размещения объявления об их приеме на официальном сайте органов местного самоуправления в информационно-телекоммуникационной сети «Интернет».</w:t>
      </w:r>
    </w:p>
    <w:p>
      <w:pPr>
        <w:jc w:val="both"/>
        <w:ind w:left="540"/>
        <w:spacing w:after="0"/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11.1.Несвоевременное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firstLine="544"/>
        <w:spacing w:after="0" w:line="250" w:lineRule="auto"/>
        <w:tabs>
          <w:tab w:leader="none" w:pos="77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Решение о дате, месте и времени проведения второго этапа конкурса принимается представителем нанимателя после проверки сведений, представленных претендентами на замещение вакантной должности муниципальной службы.</w:t>
      </w:r>
    </w:p>
    <w:p>
      <w:pPr>
        <w:jc w:val="both"/>
        <w:ind w:firstLine="540"/>
        <w:spacing w:after="0" w:line="250" w:lineRule="auto"/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>
      <w:pPr>
        <w:jc w:val="both"/>
        <w:ind w:firstLine="544"/>
        <w:spacing w:after="0" w:line="250" w:lineRule="auto"/>
        <w:tabs>
          <w:tab w:leader="none" w:pos="774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>
      <w:pPr>
        <w:jc w:val="both"/>
        <w:ind w:left="780" w:hanging="236"/>
        <w:spacing w:after="0"/>
        <w:tabs>
          <w:tab w:leader="none" w:pos="7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firstLine="544"/>
        <w:spacing w:after="0" w:line="250" w:lineRule="auto"/>
        <w:tabs>
          <w:tab w:leader="none" w:pos="775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>
      <w:pPr>
        <w:jc w:val="both"/>
        <w:ind w:left="780" w:hanging="236"/>
        <w:spacing w:after="0"/>
        <w:tabs>
          <w:tab w:leader="none" w:pos="7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Для проведения конкурса образуется конкурсная комиссия, в составе не менее 5 человек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firstLine="544"/>
        <w:spacing w:after="0" w:line="267" w:lineRule="auto"/>
        <w:tabs>
          <w:tab w:leader="none" w:pos="783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10202"/>
        </w:rPr>
      </w:pPr>
      <w:r>
        <w:rPr>
          <w:rFonts w:ascii="Times New Roman" w:cs="Times New Roman" w:eastAsia="Times New Roman" w:hAnsi="Times New Roman"/>
          <w:sz w:val="15"/>
          <w:szCs w:val="15"/>
          <w:color w:val="010202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кадрам, юридического (правового) подразделения и подразделения), депутаты муниципального совета. В обязательном порядке в состав конкурсной комиссии включаются представители Комитета по социальной политике Санкт-Петербурга.</w:t>
      </w:r>
    </w:p>
    <w:p>
      <w:pPr>
        <w:jc w:val="both"/>
        <w:ind w:firstLine="540"/>
        <w:spacing w:after="0" w:line="250" w:lineRule="auto"/>
        <w:rPr>
          <w:rFonts w:ascii="Times New Roman" w:cs="Times New Roman" w:eastAsia="Times New Roman" w:hAnsi="Times New Roman"/>
          <w:sz w:val="15"/>
          <w:szCs w:val="15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>
      <w:pPr>
        <w:jc w:val="both"/>
        <w:ind w:left="780" w:hanging="236"/>
        <w:spacing w:after="0"/>
        <w:tabs>
          <w:tab w:leader="none" w:pos="7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Конкурсная комиссия состоит из председателя, секретаря и членов комиссии.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left="800" w:hanging="256"/>
        <w:spacing w:after="0"/>
        <w:tabs>
          <w:tab w:leader="none" w:pos="80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spacing w:after="0"/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должности.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firstLine="540"/>
        <w:spacing w:after="0" w:line="267" w:lineRule="auto"/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5"/>
          <w:szCs w:val="15"/>
          <w:color w:val="01020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>
      <w:pPr>
        <w:jc w:val="both"/>
        <w:ind w:firstLine="540"/>
        <w:spacing w:after="0" w:line="250" w:lineRule="auto"/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>
      <w:pPr>
        <w:jc w:val="both"/>
        <w:ind w:left="780" w:hanging="236"/>
        <w:spacing w:after="0"/>
        <w:tabs>
          <w:tab w:leader="none" w:pos="7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Заседание конкурсной комиссии проводится при наличии не менее двух кандидатов.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При равенстве голосов решающим является голос председателя конкурсной комиссии.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780" w:hanging="236"/>
        <w:spacing w:after="0"/>
        <w:tabs>
          <w:tab w:leader="none" w:pos="7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5"/>
          <w:szCs w:val="15"/>
          <w:color w:val="010202"/>
        </w:rPr>
      </w:pPr>
      <w:r>
        <w:rPr>
          <w:rFonts w:ascii="Times New Roman" w:cs="Times New Roman" w:eastAsia="Times New Roman" w:hAnsi="Times New Roman"/>
          <w:sz w:val="15"/>
          <w:szCs w:val="15"/>
          <w:color w:val="010202"/>
        </w:rPr>
        <w:t>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15"/>
          <w:szCs w:val="15"/>
          <w:color w:val="010202"/>
        </w:rPr>
      </w:pPr>
    </w:p>
    <w:p>
      <w:pPr>
        <w:jc w:val="both"/>
        <w:ind w:left="780" w:hanging="236"/>
        <w:spacing w:after="0"/>
        <w:tabs>
          <w:tab w:leader="none" w:pos="7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010202"/>
        </w:rPr>
      </w:pPr>
    </w:p>
    <w:p>
      <w:pPr>
        <w:jc w:val="both"/>
        <w:ind w:firstLine="544"/>
        <w:spacing w:after="0" w:line="250" w:lineRule="auto"/>
        <w:tabs>
          <w:tab w:leader="none" w:pos="80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>
      <w:pPr>
        <w:jc w:val="both"/>
        <w:ind w:firstLine="544"/>
        <w:spacing w:after="0" w:line="250" w:lineRule="auto"/>
        <w:tabs>
          <w:tab w:leader="none" w:pos="77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внутригородского муниципального образования Санкт-Петербурга муниципальный округ Балканский в информационно-телекоммуникационной сети «Интернет».</w:t>
      </w:r>
    </w:p>
    <w:p>
      <w:pPr>
        <w:jc w:val="both"/>
        <w:ind w:firstLine="544"/>
        <w:spacing w:after="0" w:line="267" w:lineRule="auto"/>
        <w:tabs>
          <w:tab w:leader="none" w:pos="76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5"/>
          <w:szCs w:val="15"/>
          <w:color w:val="010202"/>
        </w:rPr>
      </w:pPr>
      <w:r>
        <w:rPr>
          <w:rFonts w:ascii="Times New Roman" w:cs="Times New Roman" w:eastAsia="Times New Roman" w:hAnsi="Times New Roman"/>
          <w:sz w:val="15"/>
          <w:szCs w:val="15"/>
          <w:color w:val="010202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>
      <w:pPr>
        <w:jc w:val="both"/>
        <w:ind w:firstLine="544"/>
        <w:spacing w:after="0" w:line="250" w:lineRule="auto"/>
        <w:tabs>
          <w:tab w:leader="none" w:pos="77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jc w:val="both"/>
        <w:ind w:left="780" w:hanging="236"/>
        <w:spacing w:after="0"/>
        <w:tabs>
          <w:tab w:leader="none" w:pos="7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6"/>
          <w:szCs w:val="16"/>
          <w:color w:val="010202"/>
        </w:rPr>
      </w:pPr>
      <w:r>
        <w:rPr>
          <w:rFonts w:ascii="Times New Roman" w:cs="Times New Roman" w:eastAsia="Times New Roman" w:hAnsi="Times New Roman"/>
          <w:sz w:val="16"/>
          <w:szCs w:val="16"/>
          <w:color w:val="010202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>
      <w:pPr>
        <w:sectPr>
          <w:pgSz w:w="16840" w:h="23820" w:orient="portrait"/>
          <w:cols w:equalWidth="0" w:num="1">
            <w:col w:w="13900"/>
          </w:cols>
          <w:pgMar w:left="1500" w:top="1202" w:right="1440" w:bottom="854" w:gutter="0" w:footer="0" w:header="0"/>
        </w:sectPr>
      </w:pP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5C5D5F"/>
        </w:rPr>
        <w:t>Пожарная инспекция информирует</w:t>
      </w:r>
    </w:p>
    <w:p>
      <w:pPr>
        <w:spacing w:after="0" w:line="5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-175895</wp:posOffset>
            </wp:positionV>
            <wp:extent cx="8845550" cy="2324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ПРАВИЛА ИСПОЛЬЗОВАНИЯ ОГНЕТУШИТЕЛЯ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4333875" cy="21342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both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Огнетушитель – устройство, с которым знаком практически каждый современный человек. Техника безопасности требует, чтобы оно находилось во всех общественных зданиях и на промышленных предприятиях, поэтому со школьной скамьи людей учат правилам пользования огнетушителями. И эти правила забывать не стоит – ни у кого нет гарантии, что столкнуться с пожаром ему не придется.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Общие правила использования огнетушителя: Есть несколько типов и видов огнетушителей. У каждого из них есть свои особенности, о которых можно прочитать на самом устройстве. Но в экстренных ситуациях, когда вас уже настиг пожар, времени на это нет. Существуют общие правила пользования, которые помогут не растеряться в трудную минуту.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both"/>
        <w:ind w:left="80" w:right="80" w:hanging="5"/>
        <w:spacing w:after="0" w:line="282" w:lineRule="auto"/>
        <w:tabs>
          <w:tab w:leader="none" w:pos="28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231F20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Для начала подготовьте устройство к работе – сорвите пломбу и выдерните чеку. Огнетушитель срабатывает, когда вы нажимаете на рычаг.</w:t>
      </w:r>
    </w:p>
    <w:p>
      <w:pPr>
        <w:spacing w:after="0" w:line="95" w:lineRule="exact"/>
        <w:rPr>
          <w:rFonts w:ascii="Times New Roman" w:cs="Times New Roman" w:eastAsia="Times New Roman" w:hAnsi="Times New Roman"/>
          <w:sz w:val="18"/>
          <w:szCs w:val="18"/>
          <w:color w:val="231F20"/>
        </w:rPr>
      </w:pPr>
    </w:p>
    <w:p>
      <w:pPr>
        <w:jc w:val="both"/>
        <w:ind w:left="80" w:right="80" w:hanging="5"/>
        <w:spacing w:after="0" w:line="266" w:lineRule="auto"/>
        <w:tabs>
          <w:tab w:leader="none" w:pos="30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231F20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Чтобы огонь не попал на вас, стойте с той стороны, откуда дует ветер. Также это поможет не вдыхать вредные вещества, которые присутствуют в содержимом огнетушителя.</w:t>
      </w:r>
    </w:p>
    <w:p>
      <w:pPr>
        <w:spacing w:after="0" w:line="109" w:lineRule="exact"/>
        <w:rPr>
          <w:rFonts w:ascii="Times New Roman" w:cs="Times New Roman" w:eastAsia="Times New Roman" w:hAnsi="Times New Roman"/>
          <w:sz w:val="18"/>
          <w:szCs w:val="18"/>
          <w:color w:val="231F20"/>
        </w:rPr>
      </w:pPr>
    </w:p>
    <w:p>
      <w:pPr>
        <w:jc w:val="both"/>
        <w:ind w:left="80" w:right="80" w:hanging="5"/>
        <w:spacing w:after="0" w:line="261" w:lineRule="auto"/>
        <w:tabs>
          <w:tab w:leader="none" w:pos="27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231F20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Струю нужно направлять на основание горящей поверхности, а не на само пламя. Это правило не включает в себя случаи, когда возгорание возникло в нише – струю стоит направить сверху вниз. Что касается горящей вертикальной поверхности, то ее следует тушить снизу вверх.</w:t>
      </w:r>
    </w:p>
    <w:p>
      <w:pPr>
        <w:spacing w:after="0" w:line="113" w:lineRule="exact"/>
        <w:rPr>
          <w:rFonts w:ascii="Times New Roman" w:cs="Times New Roman" w:eastAsia="Times New Roman" w:hAnsi="Times New Roman"/>
          <w:sz w:val="18"/>
          <w:szCs w:val="18"/>
          <w:color w:val="231F20"/>
        </w:rPr>
      </w:pPr>
    </w:p>
    <w:p>
      <w:pPr>
        <w:jc w:val="both"/>
        <w:ind w:left="80" w:right="80" w:hanging="5"/>
        <w:spacing w:after="0" w:line="282" w:lineRule="auto"/>
        <w:tabs>
          <w:tab w:leader="none" w:pos="25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231F20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Если есть несколько огнетушителей, лучше использовать сразу все. Для этого нужно привлечь людей, находящихся поблизости.</w:t>
      </w:r>
    </w:p>
    <w:p>
      <w:pPr>
        <w:spacing w:after="0" w:line="95" w:lineRule="exact"/>
        <w:rPr>
          <w:rFonts w:ascii="Times New Roman" w:cs="Times New Roman" w:eastAsia="Times New Roman" w:hAnsi="Times New Roman"/>
          <w:sz w:val="18"/>
          <w:szCs w:val="18"/>
          <w:color w:val="231F20"/>
        </w:rPr>
      </w:pPr>
    </w:p>
    <w:p>
      <w:pPr>
        <w:jc w:val="both"/>
        <w:ind w:left="260" w:hanging="185"/>
        <w:spacing w:after="0"/>
        <w:tabs>
          <w:tab w:leader="none" w:pos="2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231F20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Закончив, убедитесь, что пламя погасло полностью и очагов возгорания больше нет.</w:t>
      </w:r>
    </w:p>
    <w:p>
      <w:pPr>
        <w:spacing w:after="0" w:line="159" w:lineRule="exact"/>
        <w:rPr>
          <w:rFonts w:ascii="Times New Roman" w:cs="Times New Roman" w:eastAsia="Times New Roman" w:hAnsi="Times New Roman"/>
          <w:sz w:val="18"/>
          <w:szCs w:val="18"/>
          <w:color w:val="231F20"/>
        </w:rPr>
      </w:pPr>
    </w:p>
    <w:p>
      <w:pPr>
        <w:jc w:val="both"/>
        <w:ind w:left="260" w:hanging="185"/>
        <w:spacing w:after="0"/>
        <w:tabs>
          <w:tab w:leader="none" w:pos="2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231F20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Огнетушители после использования нужно сразу же отправить на перезарядку.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2100" w:hanging="229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i w:val="1"/>
          <w:iCs w:val="1"/>
          <w:color w:val="231F20"/>
        </w:rPr>
        <w:t>ОНДПР Фрунзенского района ГКУ «ПСО Фрунзенского района» ТО по Фрунзенскому району УГЗ ГУ МЧС России (по г. СПб).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2"/>
          <w:szCs w:val="42"/>
          <w:b w:val="1"/>
          <w:bCs w:val="1"/>
          <w:color w:val="231F20"/>
        </w:rPr>
        <w:t>ОСТОРОЖНО! ОБОГРЕВАТЕЛЬ!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20" w:right="16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10202"/>
        </w:rPr>
        <w:t>В связи с установившемся на территории Санкт-Петербурга похолоданием, многие жители нашего города продолжают активно использовать обогревательные электроприборы. Чтобы они приносили только тепло и радость в ваш дом, не стоит забывать о элементарных правилах эксплуатации электроприборов: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86696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5.05pt" to="683.8pt,5.05pt" o:allowincell="f" strokecolor="#5F6062" strokeweight="0.16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72390</wp:posOffset>
                </wp:positionV>
                <wp:extent cx="86696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5.7pt" to="683.8pt,5.7pt" o:allowincell="f" strokecolor="#5F6062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720" w:right="240" w:hanging="352"/>
        <w:spacing w:after="0" w:line="247" w:lineRule="auto"/>
        <w:tabs>
          <w:tab w:leader="none" w:pos="720" w:val="left"/>
        </w:tabs>
        <w:numPr>
          <w:ilvl w:val="0"/>
          <w:numId w:val="7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Перед использованием электроприбора внимательно изучите инструкцию по его эксплуатации. Важно помнить, что у каждого прибора есть свой срок работы. Использование оборудования свыше установленного срока небезопасно.</w:t>
      </w:r>
    </w:p>
    <w:p>
      <w:pPr>
        <w:jc w:val="both"/>
        <w:ind w:left="720" w:right="680" w:hanging="352"/>
        <w:spacing w:after="0" w:line="251" w:lineRule="auto"/>
        <w:tabs>
          <w:tab w:leader="none" w:pos="720" w:val="left"/>
        </w:tabs>
        <w:numPr>
          <w:ilvl w:val="0"/>
          <w:numId w:val="7"/>
        </w:numPr>
        <w:rPr>
          <w:rFonts w:ascii="Arial" w:cs="Arial" w:eastAsia="Arial" w:hAnsi="Arial"/>
          <w:sz w:val="19"/>
          <w:szCs w:val="19"/>
          <w:color w:val="010202"/>
        </w:rPr>
      </w:pPr>
      <w:r>
        <w:rPr>
          <w:rFonts w:ascii="Times New Roman" w:cs="Times New Roman" w:eastAsia="Times New Roman" w:hAnsi="Times New Roman"/>
          <w:sz w:val="18"/>
          <w:szCs w:val="18"/>
          <w:color w:val="010202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>
      <w:pPr>
        <w:spacing w:after="0" w:line="1" w:lineRule="exact"/>
        <w:rPr>
          <w:rFonts w:ascii="Arial" w:cs="Arial" w:eastAsia="Arial" w:hAnsi="Arial"/>
          <w:sz w:val="19"/>
          <w:szCs w:val="19"/>
          <w:color w:val="010202"/>
        </w:rPr>
      </w:pPr>
    </w:p>
    <w:p>
      <w:pPr>
        <w:jc w:val="both"/>
        <w:ind w:left="720" w:right="240" w:hanging="352"/>
        <w:spacing w:after="0" w:line="241" w:lineRule="auto"/>
        <w:tabs>
          <w:tab w:leader="none" w:pos="720" w:val="left"/>
        </w:tabs>
        <w:numPr>
          <w:ilvl w:val="0"/>
          <w:numId w:val="7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Следите за состоянием обогревательного прибора: вовремя ремонтируйте и заменяйте детали, если они вышли из строя. Меняйте предохранители, разболтавшиеся или деформированные штекеры.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23495</wp:posOffset>
            </wp:positionV>
            <wp:extent cx="4333875" cy="19894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both"/>
        <w:ind w:left="720" w:right="60" w:hanging="352"/>
        <w:spacing w:after="0" w:line="261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19"/>
          <w:szCs w:val="19"/>
          <w:color w:val="010202"/>
        </w:rPr>
      </w:pPr>
      <w:r>
        <w:rPr>
          <w:rFonts w:ascii="Times New Roman" w:cs="Times New Roman" w:eastAsia="Times New Roman" w:hAnsi="Times New Roman"/>
          <w:sz w:val="18"/>
          <w:szCs w:val="18"/>
          <w:color w:val="010202"/>
        </w:rPr>
        <w:t>Используйте приборы, изготовленные только промышленным способом. Ни при каких обстоятельствах не эксплуатируйте повреждённые, самодельные или изготовленные «кустарным» способом электрообогреватели.</w:t>
      </w:r>
    </w:p>
    <w:p>
      <w:pPr>
        <w:jc w:val="both"/>
        <w:ind w:left="720" w:right="60" w:hanging="352"/>
        <w:spacing w:after="0" w:line="238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Следует избегать перегрузки электросети. Не стоит включать одновременно нескольких мощных потребителей энергии.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010202"/>
        </w:rPr>
      </w:pPr>
    </w:p>
    <w:p>
      <w:pPr>
        <w:jc w:val="both"/>
        <w:ind w:left="720" w:right="320" w:hanging="352"/>
        <w:spacing w:after="0" w:line="238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Убедитесь, что штекер вставляется в розетку плотно, иначе обогреватель может перегреться и стать причиной пожара.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010202"/>
        </w:rPr>
      </w:pPr>
    </w:p>
    <w:p>
      <w:pPr>
        <w:jc w:val="both"/>
        <w:ind w:left="720" w:right="160" w:hanging="352"/>
        <w:spacing w:after="0" w:line="238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Не оставляйте электрообогреватели на ночь включёнными, не используйте их для сушки вещей.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010202"/>
        </w:rPr>
      </w:pPr>
    </w:p>
    <w:p>
      <w:pPr>
        <w:jc w:val="both"/>
        <w:ind w:left="720" w:hanging="352"/>
        <w:spacing w:after="0" w:line="232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Не позволяйте детям играть с такими устройствами.</w:t>
      </w:r>
    </w:p>
    <w:p>
      <w:pPr>
        <w:jc w:val="both"/>
        <w:ind w:left="720" w:right="540" w:hanging="352"/>
        <w:spacing w:after="0" w:line="238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Устанавливать электрообогреватель следует на полу, на безопасном от мебели и штор расстоянии.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010202"/>
        </w:rPr>
      </w:pPr>
    </w:p>
    <w:p>
      <w:pPr>
        <w:jc w:val="both"/>
        <w:ind w:left="720" w:right="380" w:hanging="352"/>
        <w:spacing w:after="0" w:line="251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19"/>
          <w:szCs w:val="19"/>
          <w:color w:val="010202"/>
        </w:rPr>
      </w:pPr>
      <w:r>
        <w:rPr>
          <w:rFonts w:ascii="Times New Roman" w:cs="Times New Roman" w:eastAsia="Times New Roman" w:hAnsi="Times New Roman"/>
          <w:sz w:val="18"/>
          <w:szCs w:val="18"/>
          <w:color w:val="010202"/>
        </w:rPr>
        <w:t>Не используйте обогреватель в помещении, где хранятся лакокрасочные материалы, растворители и другие воспламеняющиеся жидкости.</w:t>
      </w:r>
    </w:p>
    <w:p>
      <w:pPr>
        <w:spacing w:after="0" w:line="1" w:lineRule="exact"/>
        <w:rPr>
          <w:rFonts w:ascii="Arial" w:cs="Arial" w:eastAsia="Arial" w:hAnsi="Arial"/>
          <w:sz w:val="19"/>
          <w:szCs w:val="19"/>
          <w:color w:val="010202"/>
        </w:rPr>
      </w:pPr>
    </w:p>
    <w:p>
      <w:pPr>
        <w:jc w:val="both"/>
        <w:ind w:left="720" w:right="1360" w:hanging="352"/>
        <w:spacing w:after="0" w:line="238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Регулярно очищайте устройство от пыли — она тоже может воспламениться.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010202"/>
        </w:rPr>
      </w:pPr>
    </w:p>
    <w:p>
      <w:pPr>
        <w:jc w:val="both"/>
        <w:ind w:left="720" w:hanging="352"/>
        <w:spacing w:after="0" w:line="232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Не размещайте сетевые провода под коврами и другими покрытиями.</w:t>
      </w:r>
    </w:p>
    <w:p>
      <w:pPr>
        <w:jc w:val="both"/>
        <w:ind w:left="720" w:hanging="352"/>
        <w:spacing w:after="0" w:line="232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Во избежание перегрева не ставьте на провода тяжелые предметы.</w:t>
      </w:r>
    </w:p>
    <w:p>
      <w:pPr>
        <w:ind w:left="720" w:right="200" w:hanging="352"/>
        <w:spacing w:after="0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Если вы почувствовали запах горелой изоляции или увидели дым, то следует отключить электроприбор от сети, вынув вилку шнура питания из розетки.</w:t>
      </w:r>
    </w:p>
    <w:p>
      <w:pPr>
        <w:spacing w:after="0" w:line="2" w:lineRule="exact"/>
        <w:rPr>
          <w:rFonts w:ascii="Arial" w:cs="Arial" w:eastAsia="Arial" w:hAnsi="Arial"/>
          <w:sz w:val="20"/>
          <w:szCs w:val="20"/>
          <w:color w:val="010202"/>
        </w:rPr>
      </w:pPr>
    </w:p>
    <w:p>
      <w:pPr>
        <w:jc w:val="both"/>
        <w:ind w:left="720" w:hanging="352"/>
        <w:spacing w:after="0" w:line="232" w:lineRule="auto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010202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В случае пожара незамедлительно звоните по телефону «01» - для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right="2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абонентов городской телефонной сети или «112» - для абонентов мобильной сети.</w:t>
      </w:r>
    </w:p>
    <w:p>
      <w:pPr>
        <w:ind w:right="30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Соблюдение этих простых правил позволит вам обезопасить себя и свою семью, а также сохранить Ваш домашний очаг!</w:t>
      </w: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010202"/>
        </w:rPr>
        <w:t>Будьте внимательны и осторожны! Берегите себя и своих близких!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231F20"/>
        </w:rPr>
        <w:t>ОНДПР Фрунзенского района ГКУ «ПСО Фрунзенского района»</w:t>
      </w:r>
    </w:p>
    <w:p>
      <w:pPr>
        <w:jc w:val="right"/>
        <w:spacing w:after="0" w:line="2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231F20"/>
        </w:rPr>
        <w:t>ТО по Фрунзенскому району УГЗ ГУ МЧС России (по г. СПб)</w:t>
      </w:r>
    </w:p>
    <w:p>
      <w:pPr>
        <w:ind w:left="6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231F20"/>
        </w:rPr>
        <w:t>3</w:t>
      </w:r>
    </w:p>
    <w:p>
      <w:pPr>
        <w:sectPr>
          <w:pgSz w:w="16840" w:h="23820" w:orient="portrait"/>
          <w:cols w:equalWidth="0" w:num="2">
            <w:col w:w="6820" w:space="260"/>
            <w:col w:w="6840"/>
          </w:cols>
          <w:pgMar w:left="1480" w:top="1202" w:right="1440" w:bottom="854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010202"/>
        </w:rPr>
        <w:t>А ВЫ ЗНАЕТЕ, ЧЕМ ЗАНЯТ ВАШ РЕБЕНОК?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4333875" cy="30638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6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both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Заканчиваются выходные дни, связанные с новогодними и рождественскими праздниками. Но заканчиваются они только у взрослых. А каникулы для школьников всё еще продолжаются. Это означает, что на несколько дней ребятишки могут остаться без бдительного надзора родителей. А вместе с тем, как свидетельствует статистика прошлых лет, именно в этот период увеличивается количество происшествий с детьми. Особое внимание хотелось бы уделить пожарам, происходящим от детской шалости с огнем.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Всем известно, что запретный плод сладок, впрочем, как и спички или зажигалки, которые так и просятся в руки детворы. Нередко, подобная шалость приводит к беде. Пожарная охрана неустанно напоминает, что ответственность за детей лежит на взрослых. Именно они обязаны разъяснить ребенку опасность игры с огнем, рассказать ему, как правильно действовать в экстремальной ситуации, как быть, если пожар все же вспыхнул. Иногда у ребенка срабатывает пассивно-оборонительная реакция и вместо того, чтобы убежать от огня, дети прячутся, забиваются в угол. Последствия подобных действий бывают очень трагичны.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К сожалению, не всегда таким моментам уделяется должное внимание. Удивляет иногда и равнодушие взрослых.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Понятно, что ежеминутно контролировать, где ребенок и чем он занимается, практически невозможно . Поэтому лучше просто еще и еще раз поговорить с детьми об основах безопасного поведения. Кстати, потенциальную угрозу ведь несет не только шалость с огнем. Стоит напомнить ребятам о том, как себя надо вести на дороге, о недопустимости игр в заброшенных зданиях и на строительных площадках. Главное управление МЧС России по Санкт-Петербургу напоминает, постарайтесь по возможности не оставлять детей без присмотра. И не оставайтесь равнодушными, если у вас на глазах ребята совершают что-то необдуманное. Помните, что непоправимое может случиться очень быстро, а расплачиваться за это иногда приходиться всю жизнь.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010202"/>
        </w:rPr>
        <w:t>Берегите себя и своих близких!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40" w:hanging="235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ОНДПР Фрунзенского района ГКУ «ПСО Фрунзенского района» ТО по Фрунзенскому району УГЗ ГУ МЧС России (по г. СПб)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31F20"/>
        </w:rPr>
        <w:t>ЗАМЕНА ВОДИТЕЛЬСКОГО УДОСТОВЕРЕНИЯ В СВЯЗИ С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31F20"/>
        </w:rPr>
        <w:t>ОКОНЧАНИЕМ СРОКА ДЕЙСТВИЯ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30480</wp:posOffset>
            </wp:positionV>
            <wp:extent cx="4333875" cy="22371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firstLine="34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Как известно, одним из документов, который в обязательном порядке необходим для управления автомобилем, является действующее водительское удостоверение, категория которого соответствует категории транспортного средства. Время от времени у каждого водителя возникает острая необходимость замены водительского удостоверения.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В настоящее время замена водительских прав возможна в отделении МРЭО ГИБДД по месту обращения, т.е. в любом отделении на территории страны.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При этом не имеет значения, имеете ли Вы регистрацию в данном субъекте Российской Федерации. Права Вам обменяют в любом случае.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Также не имеет значения, где Вы до этого меняли водительское удостоверение. База данных в ГИБДД общая, поэтому никаких проблем обращение в "новом" регионе не вызовет.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Срок действия водительского удостоверения составляет 10 лет. Дата окончания срока действия указывается в соответствующей графе прав. После наступления этой даты удостоверение становится недействительным и подлежит замене в связи с окончанием срока действия.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Государственная пошлина за выдачу водительского удостоверения составляет 2 000 рублей. Дополнительные платежи при замене прав не предусмотрены.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Документы для замены водительского удостоверения: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500" w:hanging="156"/>
        <w:spacing w:after="0"/>
        <w:tabs>
          <w:tab w:leader="none" w:pos="5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16"/>
          <w:szCs w:val="16"/>
          <w:color w:val="231F20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Заявление.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231F20"/>
        </w:rPr>
      </w:pPr>
    </w:p>
    <w:p>
      <w:pPr>
        <w:jc w:val="both"/>
        <w:ind w:left="500" w:hanging="156"/>
        <w:spacing w:after="0"/>
        <w:tabs>
          <w:tab w:leader="none" w:pos="5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16"/>
          <w:szCs w:val="16"/>
          <w:color w:val="231F20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Паспорт или иной документ, удостоверяющий личность.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231F20"/>
        </w:rPr>
      </w:pPr>
    </w:p>
    <w:p>
      <w:pPr>
        <w:jc w:val="both"/>
        <w:ind w:left="500" w:hanging="156"/>
        <w:spacing w:after="0"/>
        <w:tabs>
          <w:tab w:leader="none" w:pos="5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16"/>
          <w:szCs w:val="16"/>
          <w:color w:val="231F20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Медицинская справка (действующая).</w:t>
      </w:r>
    </w:p>
    <w:p>
      <w:pPr>
        <w:spacing w:after="0" w:line="5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left="520" w:hanging="151"/>
        <w:spacing w:after="0"/>
        <w:tabs>
          <w:tab w:leader="none" w:pos="5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16"/>
          <w:szCs w:val="16"/>
          <w:color w:val="231F20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Водительское удостоверение.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16"/>
          <w:szCs w:val="16"/>
          <w:color w:val="231F20"/>
        </w:rPr>
      </w:pPr>
    </w:p>
    <w:p>
      <w:pPr>
        <w:ind w:left="360" w:firstLine="8"/>
        <w:spacing w:after="0" w:line="267" w:lineRule="auto"/>
        <w:tabs>
          <w:tab w:leader="none" w:pos="5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15"/>
          <w:szCs w:val="15"/>
          <w:color w:val="231F20"/>
        </w:rPr>
      </w:pPr>
      <w:r>
        <w:rPr>
          <w:rFonts w:ascii="Times New Roman" w:cs="Times New Roman" w:eastAsia="Times New Roman" w:hAnsi="Times New Roman"/>
          <w:sz w:val="15"/>
          <w:szCs w:val="15"/>
          <w:color w:val="231F20"/>
        </w:rPr>
        <w:t>Документ об оплате изготовления и (или) выдачи нового водительского удостоверения. Заявление на замену водительского удостоверения в связи с окончанием срока действия можно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-4467860</wp:posOffset>
                </wp:positionH>
                <wp:positionV relativeFrom="paragraph">
                  <wp:posOffset>-422275</wp:posOffset>
                </wp:positionV>
                <wp:extent cx="881951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C4C4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1.7999pt,-33.2499pt" to="342.65pt,-33.2499pt" o:allowincell="f" strokecolor="#4C4C4E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-4467860</wp:posOffset>
                </wp:positionH>
                <wp:positionV relativeFrom="paragraph">
                  <wp:posOffset>-413385</wp:posOffset>
                </wp:positionV>
                <wp:extent cx="881951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4C4C4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1.7999pt,-32.5499pt" to="342.65pt,-32.5499pt" o:allowincell="f" strokecolor="#4C4C4E" strokeweight="0.1669pt"/>
            </w:pict>
          </mc:Fallback>
        </mc:AlternateContent>
        <w:t>заполнить прямо в МРЭО ГИБДД, попросив бланк у инспектора.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При замене водительского удостоверения не требуется сдавать теоретический экзамен.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Если вы придете в МРЭО с просроченными неоплаченными штрафами, то сотрудники ГИБДД выпишут вам протоколы о наложении штрафов в двойном размере за неуплату. Поэтому необходимо заранее оплатить все штрафы.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На практике у водителей довольно часто возникает желание заменить водительское удостоверение досрочно, например, за месяц или два до окончания срока действия.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В настоящее время вопрос досрочной замены водительского удостоверения при окончании срока его действия не регламентирован нормативными правовыми документами. Однако на официальном сайте ГИБДД представлена информация о том, что заменить удостоверение можно не раньше, чем за 6 месяцев до окончания срока его действия.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Обратите внимание, что за управление автомобилем с просроченными правами предусмотрен штраф. Если срок действия водительского удостоверения прошел, но Вы не управляете автомобилем, то и штраф наложен быть не может.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Штраф за данное нарушение предусмотрен статьей 12.7 КоАП: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«Управление транспортным средством водителем, не имеющим права управления транспортным средством (за исключением учебной езды), 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влечет наложение административного штрафа в размере от пяти тысяч до пятнадцати тысяч рублей».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 w:right="58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Рекомендуем внимательно следить за сроком окончания водительского удостоверения. Удачи на дорогах!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231F20"/>
        </w:rPr>
        <w:t>ОГИБДД УМВД России по Фрунзенскому району г. СПб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31F20"/>
        </w:rPr>
        <w:t>ВСТРЕЧА С ДЕПУТАТОМ ЗАКОНОДАТЕЛЬНОГО СОБРАНИЯ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2720" w:val="left"/>
          <w:tab w:leader="none" w:pos="3180" w:val="left"/>
          <w:tab w:leader="none" w:pos="4700" w:val="left"/>
          <w:tab w:leader="none" w:pos="6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31F20"/>
        </w:rPr>
        <w:t>САНКТ-ПЕТЕРБУРГА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31F20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31F20"/>
        </w:rPr>
        <w:t>АКТИВОМ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31F20"/>
        </w:rPr>
        <w:t>ОБЩЕСТВА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31F20"/>
        </w:rPr>
        <w:t>СПР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31F20"/>
        </w:rPr>
        <w:t>МУНИЦИПАЛЬНОГО ОКРУГА БАЛКАНСКИЙ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both"/>
        <w:ind w:left="1860" w:firstLine="34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231F20"/>
        </w:rPr>
        <w:t>15 ноября 2016 года в Муниципальном совете Муниципального округа Балканский состоялась встреча с Председателем Правления Санкт-Петербургского регионального отделения «Союз пенсионеров России» (СПР), депутат Законодательного Собрания Санкт-Петербурга Ивченко Борис Павлович, вместе с Председателем Фрунзенского районного отделения Союза пенсионеров России Марией Петровной Артемьевой, Главой Муниципального образования – председателем Муниципального совета МО Балканский Лебедевым Савелием Андреевичем и Главой местной Администрации МО Балканский Агеевой Мариной Александровной, провел встречу с активом общества Союза пенсионеров России, которое базируется на территории Муниципального</w:t>
      </w:r>
    </w:p>
    <w:tbl>
      <w:tblPr>
        <w:tblLayout w:type="fixed"/>
        <w:tblInd w:w="1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7"/>
        </w:trPr>
        <w:tc>
          <w:tcPr>
            <w:tcW w:w="2700" w:type="dxa"/>
            <w:vAlign w:val="bottom"/>
            <w:gridSpan w:val="2"/>
          </w:tcPr>
          <w:p>
            <w:pPr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231F20"/>
              </w:rPr>
              <w:drawing>
                <wp:anchor simplePos="0" relativeHeight="251657728" behindDoc="1" locked="0" layoutInCell="0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-1318260</wp:posOffset>
                  </wp:positionV>
                  <wp:extent cx="1087120" cy="163068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63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t>округа Балканский.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2"/>
        </w:trPr>
        <w:tc>
          <w:tcPr>
            <w:tcW w:w="12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231F20"/>
              </w:rPr>
              <w:t>На  встрече</w:t>
            </w: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231F20"/>
                <w:w w:val="99"/>
              </w:rPr>
              <w:t>присутствовали: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231F20"/>
                <w:w w:val="97"/>
              </w:rPr>
              <w:t>председатель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231F20"/>
              </w:rPr>
              <w:t>общества  СПР</w:t>
            </w:r>
          </w:p>
        </w:tc>
      </w:tr>
      <w:tr>
        <w:trPr>
          <w:trHeight w:val="20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231F20"/>
              </w:rPr>
              <w:t>МО  Балканский</w:t>
            </w: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231F20"/>
              </w:rPr>
              <w:t>Решетняк  Руслана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231F20"/>
                <w:w w:val="97"/>
              </w:rPr>
              <w:t>Георгиевна,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231F20"/>
              </w:rPr>
              <w:t>члены  правления</w:t>
            </w:r>
          </w:p>
        </w:tc>
      </w:tr>
    </w:tbl>
    <w:p>
      <w:pPr>
        <w:jc w:val="both"/>
        <w:ind w:lef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общественной организации СПР МО Балканский: Л.И.Телегина, В.Н.Каширина, Н.П. Кубышкина, З.А. Чугунова, В.Н. Егоров и др.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Б.П.Ивченко рассказал о работе 8 съезда Общероссийской общественной организации «Союза пенсионеров России», который состоялся в г. Москва 26 ноября 2016 года. На съезде присутствовало 133 делегата от 71 регионального отделения.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От Санкт-Петербургского отделения СПР были направлены делегатами Б.П. Ивченко и председатель Колпинского отделения СПР.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Приветствие делегатам съезда направил В.В.Путин. Он выразил благодарность Союзу пенсионеров России за полезную работу, пожелал участникам съезда плодотворной работы и успехов в дальнейшей деятельности.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Приветствие делегатам съезда также направили и другие руководители исполнительной и законодательной власти.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В работе съезда приняли участие делегации Союза пенсионеров Чехии и Сербии.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С отчетным докладом Центрального правления о деятельности организации СПР за четыре года, прошедшие с седьмого съезда в 2012 году, выступил председатель Президиума Центрального правления союза пенсионеров России Валерий Рязанский.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Делегаты съезда подвели итоги за предыдущие 4 года, скоординировали планы на перспективу, а также приняли внесенные изменения в Устав Союза пенсионеров России.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Среди первоочередных задач съезда было – создание эффективной адресной системы социальной поддержки малоимущих, одиноких и престарелых пенсионеров, повышение качества жизни российской семьи- обеспечение доступным и качественным образованием, медицинским обслуживанием, жильем, достойной заработной платой, формирование в обществе культуры здорового образа жизни и активного долголетия, патриотическое воспитание граждан страны.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 w:firstLine="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Б.П.Ивченко ответил на вопросы присутствующих: по пенсионному обеспечению, о ЖКХ, жилье для молодых семей и достойной заработной платы населения. Встреча прошла в теплой, дружеской обстановке. Говорили также о достигнутых результатах и о планах на 2017 год.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31F20"/>
        </w:rPr>
        <w:t>Все остались довольны общением и хорошим настроением.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231F20"/>
        </w:rPr>
        <w:t>Председатель общественной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231F20"/>
        </w:rPr>
        <w:t>Организации «Союз Пенсионеров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231F20"/>
        </w:rPr>
        <w:t>России» МО Балканский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231F20"/>
        </w:rPr>
        <w:t>Р.Г.Решетняк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31F20"/>
        </w:rPr>
        <w:t>ПРОФИЛАКТИЧЕСКОЕ МЕРОПРИЯТИЕ «ВНИМАНИЕ – ДЕТИ!»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231F20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«закон дороги». И часто за случаями детского травматизма на дрогах стоит безучастность взрослых к совершаемым детьми правонарушениям.</w:t>
      </w:r>
    </w:p>
    <w:p>
      <w:pPr>
        <w:jc w:val="both"/>
        <w:ind w:right="2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231F20"/>
        </w:rPr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 водители транспортных средств.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231F20"/>
        </w:rPr>
        <w:t>За 11 месяцев 2016 года на территории Фрунзенского района г. СПб произошло 37 (-1) дорожно-транспортных происшествий с участием детей. Погиб 1 (+1) ребенок, ранено 38 (-3) несовершеннолетних. Из-за нарушений Правил дорожного движения по собственной неосторожности пострадало 8 (-1) детей. В целях снижения детского дорожно-транспортного травматизма в период с 26 декабря 2016 года по 13 января 2017 года Государственная инспекция безопасности дорожного движения проводит Всероссийское профилактическое мероприятие "Внимание – дети!».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231F20"/>
        </w:rPr>
        <w:t>Уважаемые, взрослые участники дорожного движения!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231F20"/>
        </w:rPr>
        <w:t>Напомните детям о правилах перехода проезжей части, о мерах безопасности при нахождении на улице. Обратите внимание, что неожиданный выход из-за стоящего транспортного средства, либо из-за другого препятствия очень опасен. Перед тем как переходить проезжую часть необходимо убедиться в том, что все машины остановились и пропускают вас. Рекомендуйте использование световозвращателей. Они помогут сделать ребенка более заметным в тёмное время суток.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231F20"/>
        </w:rPr>
        <w:t>Перевозя ребёнка в машине, не забывайте использовать специальные удерживающие устройства или детские автокресла.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231F20"/>
        </w:rPr>
        <w:t>С раннего возраста приучайте детей соблюдать Правила дорожного движения. И не забывайте, что личный пример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231F20"/>
        </w:rPr>
        <w:t>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231F20"/>
        </w:rPr>
        <w:t>ОГИБДД УМВД России по Фрунзенскому району г. СПб.</w:t>
      </w:r>
    </w:p>
    <w:p>
      <w:pPr>
        <w:ind w:left="3480"/>
        <w:spacing w:after="0"/>
        <w:rPr>
          <w:sz w:val="20"/>
          <w:szCs w:val="20"/>
          <w:color w:val="auto"/>
        </w:rPr>
        <w:sectPr>
          <w:pgSz w:w="16840" w:h="23820" w:orient="portrait"/>
          <w:cols w:equalWidth="0" w:num="2">
            <w:col w:w="6820" w:space="220"/>
            <w:col w:w="6860"/>
          </w:cols>
          <w:pgMar w:left="1500" w:top="1161" w:right="1440" w:bottom="144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-4467860</wp:posOffset>
            </wp:positionH>
            <wp:positionV relativeFrom="paragraph">
              <wp:posOffset>55880</wp:posOffset>
            </wp:positionV>
            <wp:extent cx="8820150" cy="8775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32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231F20"/>
                <w:w w:val="82"/>
              </w:rPr>
              <w:t>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231F20"/>
              </w:rPr>
              <w:t>30 000</w:t>
            </w:r>
          </w:p>
        </w:tc>
      </w:tr>
      <w:tr>
        <w:trPr>
          <w:trHeight w:val="15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231F20"/>
              </w:rPr>
              <w:t>11.01.2017</w:t>
            </w:r>
          </w:p>
        </w:tc>
      </w:tr>
    </w:tbl>
    <w:p>
      <w:pPr>
        <w:jc w:val="both"/>
        <w:ind w:left="1380" w:hanging="1282"/>
        <w:spacing w:after="0"/>
        <w:tabs>
          <w:tab w:leader="none" w:pos="1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12"/>
          <w:szCs w:val="12"/>
          <w:color w:val="231F20"/>
        </w:rPr>
      </w:pPr>
      <w:r>
        <w:rPr>
          <w:rFonts w:ascii="Times New Roman" w:cs="Times New Roman" w:eastAsia="Times New Roman" w:hAnsi="Times New Roman"/>
          <w:sz w:val="12"/>
          <w:szCs w:val="12"/>
          <w:color w:val="231F20"/>
        </w:rPr>
        <w:t>18.00</w:t>
      </w:r>
    </w:p>
    <w:sectPr>
      <w:pgSz w:w="16840" w:h="23820" w:orient="portrait"/>
      <w:cols w:equalWidth="0" w:num="1">
        <w:col w:w="1660"/>
      </w:cols>
      <w:pgMar w:left="12740" w:top="1161" w:right="2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07ED7AB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EB141F2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41B71EFB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10"/>
    </w:lvl>
  </w:abstractNum>
  <w:abstractNum w:abstractNumId="3">
    <w:nsid w:val="79E2A9E3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11"/>
    </w:lvl>
  </w:abstractNum>
  <w:abstractNum w:abstractNumId="4">
    <w:nsid w:val="7545E146"/>
    <w:multiLevelType w:val="hybridMultilevel"/>
    <w:lvl w:ilvl="0">
      <w:lvlJc w:val="left"/>
      <w:lvlText w:val="%1."/>
      <w:numFmt w:val="decimal"/>
      <w:start w:val="21"/>
    </w:lvl>
  </w:abstractNum>
  <w:abstractNum w:abstractNumId="5">
    <w:nsid w:val="515F007C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5BD062C2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12200854"/>
    <w:multiLevelType w:val="hybridMultilevel"/>
    <w:lvl w:ilvl="0">
      <w:lvlJc w:val="left"/>
      <w:lvlText w:val="•"/>
      <w:numFmt w:val="bullet"/>
      <w:start w:val="1"/>
    </w:lvl>
  </w:abstractNum>
  <w:abstractNum w:abstractNumId="8">
    <w:nsid w:val="4DB127F8"/>
    <w:multiLevelType w:val="hybridMultilevel"/>
    <w:lvl w:ilvl="0">
      <w:lvlJc w:val="left"/>
      <w:lvlText w:val="%1."/>
      <w:numFmt w:val="decimal"/>
      <w:start w:val="1"/>
    </w:lvl>
  </w:abstractNum>
  <w:abstractNum w:abstractNumId="9">
    <w:nsid w:val="216231B"/>
    <w:multiLevelType w:val="hybridMultilevel"/>
    <w:lvl w:ilvl="0">
      <w:lvlJc w:val="left"/>
      <w:lvlText w:val="%1."/>
      <w:numFmt w:val="decimal"/>
      <w:start w:val="4"/>
    </w:lvl>
  </w:abstractNum>
  <w:abstractNum w:abstractNumId="10">
    <w:nsid w:val="1F16E9E8"/>
    <w:multiLevelType w:val="hybridMultilevel"/>
    <w:lvl w:ilvl="0">
      <w:lvlJc w:val="left"/>
      <w:lvlText w:val="18.%1"/>
      <w:numFmt w:val="decimal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2017-04-26T10:33:12Z</dcterms:created>
  <dcterms:modified xsi:type="dcterms:W3CDTF">2017-04-26T10:33:12Z</dcterms:modified>
</cp:coreProperties>
</file>